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E8CD" w14:textId="77777777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kern w:val="0"/>
          <w:sz w:val="24"/>
          <w:szCs w:val="24"/>
        </w:rPr>
      </w:pPr>
    </w:p>
    <w:p w14:paraId="45D5D829" w14:textId="5FF8810D" w:rsidR="00F05A91" w:rsidRPr="003F62F5" w:rsidRDefault="00050F74" w:rsidP="003F62F5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kern w:val="0"/>
          <w:sz w:val="28"/>
          <w:szCs w:val="28"/>
        </w:rPr>
      </w:pPr>
      <w:r w:rsidRPr="003F62F5">
        <w:rPr>
          <w:rFonts w:cs="Calibri-Bold"/>
          <w:b/>
          <w:bCs/>
          <w:color w:val="000000"/>
          <w:kern w:val="0"/>
          <w:sz w:val="28"/>
          <w:szCs w:val="28"/>
        </w:rPr>
        <w:t>Informacje dla podmiotów świadczących usługi rozwojowe</w:t>
      </w:r>
    </w:p>
    <w:p w14:paraId="1DDD3618" w14:textId="77777777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kern w:val="0"/>
          <w:sz w:val="24"/>
          <w:szCs w:val="24"/>
        </w:rPr>
      </w:pPr>
    </w:p>
    <w:p w14:paraId="697D2606" w14:textId="77777777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kern w:val="0"/>
          <w:sz w:val="24"/>
          <w:szCs w:val="24"/>
        </w:rPr>
      </w:pPr>
    </w:p>
    <w:p w14:paraId="0B14CD45" w14:textId="6330EB74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 xml:space="preserve">1. 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Podmiot świadczący usługę rozwojową, w Karcie Usługi </w:t>
      </w:r>
      <w:r w:rsidRPr="003F62F5">
        <w:rPr>
          <w:rFonts w:cs="Calibri"/>
          <w:color w:val="000000"/>
          <w:kern w:val="0"/>
          <w:sz w:val="24"/>
          <w:szCs w:val="24"/>
        </w:rPr>
        <w:t>(publikowanej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w Bazie Usług Rozwojowych), 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>w kontekście walidacji, definiuje:</w:t>
      </w:r>
    </w:p>
    <w:p w14:paraId="5F179CF6" w14:textId="77777777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kern w:val="0"/>
          <w:sz w:val="24"/>
          <w:szCs w:val="24"/>
        </w:rPr>
      </w:pPr>
    </w:p>
    <w:p w14:paraId="38137468" w14:textId="36506F97" w:rsidR="00F05A91" w:rsidRPr="003F62F5" w:rsidRDefault="00F05A91" w:rsidP="003F62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efekty uczenia się oraz kryteria ich weryfikacji, oraz</w:t>
      </w:r>
    </w:p>
    <w:p w14:paraId="5D65974A" w14:textId="0F898225" w:rsidR="00F05A91" w:rsidRPr="003F62F5" w:rsidRDefault="00F05A91" w:rsidP="003F62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metody walidacji.</w:t>
      </w:r>
    </w:p>
    <w:p w14:paraId="591D98C3" w14:textId="77777777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4625AFA4" w14:textId="73C51D02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Wymaganie to ma umożliwić potencjalnym uczestnikom zapoznanie się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z korzyściami wynikającymi z udziału w usłudze (efektami uczenia się) oraz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z metodami weryfikacji efektów uczenia się.</w:t>
      </w:r>
    </w:p>
    <w:p w14:paraId="1D169FEF" w14:textId="77777777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179A133B" w14:textId="27269FCA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Należy podkreślić, że walidacja jest integralną częścią usługi rozwojowej, ze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wszystkimi wynikającymi z tego faktu konsekwencjami - jej czas powinien być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uwzględniony w czas trwania usługi, a koszt powinien być uwzględniony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w koszcie usługi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>.</w:t>
      </w:r>
    </w:p>
    <w:p w14:paraId="4220B59A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1EF87887" w14:textId="77777777" w:rsidR="003F62F5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Walidacja, tak samo jak realizacja innych elementów usługi rozwojowej,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może przyjmować różnorakie formy - w zależności od potrzeb uczestników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lub uczestniczek, zakresu wsparcia, a także zaplanowanych efektów uczenia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się i metod ich oceny. Dlatego też, na poziomie krajowym określone zostały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podstawowe zasady tego procesu (zdefiniowane w załączniku nr 2 do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Wytycznych dotyczących monitorowania postępu rzeczowego realizacji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programów na lata 2021-2027), pozostawiając podmiotom świadczącym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usługi rozwojowe elastyczność w jego kształtowaniu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>.</w:t>
      </w:r>
    </w:p>
    <w:p w14:paraId="5F042634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2621F50B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2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 xml:space="preserve">. </w:t>
      </w:r>
      <w:r w:rsidR="00F05A91" w:rsidRPr="003F62F5">
        <w:rPr>
          <w:rFonts w:cs="Calibri-Bold"/>
          <w:b/>
          <w:bCs/>
          <w:color w:val="000000"/>
          <w:kern w:val="0"/>
          <w:sz w:val="24"/>
          <w:szCs w:val="24"/>
        </w:rPr>
        <w:t>Operator ocenia, czy walidacja została zaplanowana prawidłowo, opierając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się wyłącznie na zapisach w Karcie Usługi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(podobnie jak w przypadku oceny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pozostałych elementów usługi rozwojowej). Opis walidacji powinien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jednoznacznie rozstrzygać o metodach walidacji, czasie jej przeprowadzenia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i osobie lub osobach odpowiedzialnych za jej realizację.</w:t>
      </w:r>
    </w:p>
    <w:p w14:paraId="09B45A8D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082039A4" w14:textId="353FF755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3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 xml:space="preserve">. </w:t>
      </w:r>
      <w:r w:rsidR="00F05A91"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Termin przeprowadzenia walidacji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powinien być adekwatny do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zaplanowanych metod oceny efektów uczenia się. Co do zasady, weryfikacja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osiągnięcia efektów uczenia się powinna się odbywać po zakończeniu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komponentu edukacyjnego usługi. Niemniej jednak, jeżeli metoda walidacji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tego wymaga, kompletowanie dokumentacji służącej weryfikacji (np.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przygotowane prace graficzne, efekty wykonanych ćwiczeń praktycznych)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może następować także w trakcie komponentu edukacyjnego. Jeżeli usługa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jest długoterminowa i podzielona na etapy, weryfikacja efektów uczenia się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może być przeprowadzona na koniec każdego z etapów. Należy jednak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pamiętać, że musi to jasno wynikać z Karty Usługi. Jednocześnie, jak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wspomniano powyżej, walidacja jest integralną częścią usługi rozwojowej.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Dlatego też dopiero po jej przeprowadzeniu (bez względu na wynik) można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uznać usługę za zakończoną.</w:t>
      </w:r>
    </w:p>
    <w:p w14:paraId="6A1B2E7C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261E5F61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4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 xml:space="preserve">. </w:t>
      </w:r>
      <w:r w:rsidR="00F05A91" w:rsidRPr="003F62F5">
        <w:rPr>
          <w:rFonts w:cs="Calibri-Bold"/>
          <w:b/>
          <w:bCs/>
          <w:color w:val="000000"/>
          <w:kern w:val="0"/>
          <w:sz w:val="24"/>
          <w:szCs w:val="24"/>
        </w:rPr>
        <w:t>Dokumentami potwierdzającymi nabycie kompetencji są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: zaświadczenie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wydawane zgodnie z rozporządzeniem Ministra Funduszy i Polityki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Regionalnej z dnia 28 lipca 2023 r. w sprawie rejestru podmiotów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świadczących usługi rozwojowe oraz Karta Usługi, której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zaświadczenie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dotyczy</w:t>
      </w:r>
      <w:r w:rsidRPr="003F62F5">
        <w:rPr>
          <w:rFonts w:cs="Calibri"/>
          <w:color w:val="000000"/>
          <w:kern w:val="0"/>
          <w:sz w:val="24"/>
          <w:szCs w:val="24"/>
        </w:rPr>
        <w:t>.</w:t>
      </w:r>
    </w:p>
    <w:p w14:paraId="0008D2E3" w14:textId="77777777" w:rsidR="003F62F5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Zaświadczenie zawiera wykaz zadeklarowanych w Karcie Usługi efektów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uczenia się, których osiągnięcie zostało zweryfikowane i potwierdzone przez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podmiot świadczący usługę rozwojową.</w:t>
      </w:r>
    </w:p>
    <w:p w14:paraId="57766DDF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0FA60952" w14:textId="70121050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Natomiast, Karta Usługi:</w:t>
      </w:r>
    </w:p>
    <w:p w14:paraId="6FC03D18" w14:textId="509211B1" w:rsidR="00F05A91" w:rsidRPr="003F62F5" w:rsidRDefault="00F05A91" w:rsidP="003F62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zawiera opis wszystkich efektów uczenia się,</w:t>
      </w:r>
    </w:p>
    <w:p w14:paraId="10763DE3" w14:textId="2C79DAEE" w:rsidR="00F05A91" w:rsidRPr="003F62F5" w:rsidRDefault="00F05A91" w:rsidP="003F62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przedstawia przebieg procesu walidacji w zakresie zidentyfikowanych</w:t>
      </w:r>
      <w:r w:rsidR="00CD56F1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efektów uczenia się i kryteriów ich weryfikacji oraz</w:t>
      </w:r>
    </w:p>
    <w:p w14:paraId="266021A5" w14:textId="1C197B0D" w:rsidR="00F05A91" w:rsidRPr="003F62F5" w:rsidRDefault="00F05A91" w:rsidP="003F62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potwierdza zastosowanie rozwiązań zapewniających rozdzielenie</w:t>
      </w:r>
      <w:r w:rsidR="00CD56F1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procesów kształcenia i szkolenia od walidacji.</w:t>
      </w:r>
    </w:p>
    <w:p w14:paraId="0EB8C1D9" w14:textId="77777777" w:rsidR="00D73290" w:rsidRPr="003F62F5" w:rsidRDefault="00D73290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2A4B5190" w14:textId="77777777" w:rsidR="003F62F5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Zaświadczenie wydawane jest przez podmiot świadczący usługę rozwojową,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a Karta Usługi jest dostępna w BUR.</w:t>
      </w:r>
    </w:p>
    <w:p w14:paraId="46214A86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1CE9607A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5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 xml:space="preserve">. </w:t>
      </w:r>
      <w:r w:rsidR="00F05A91"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Rozdzielność szkolenia od walidacji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oznacza co najmniej rozdzielność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osobową. Osoby, które prowadziły szkolenie, nie mogą dokonywać walidacji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efektów uczenia się uczestników usługi (w praktyce chodzi o to, aby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zapewnić, że osoba, która szkoliła, nie dokonuje oceny efektów własnej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pracy). Nie należy więc mylić procesu tworzenia i kompletowania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dokumentacji służącej walidacji osiągniętych efektów uczenia się z etapem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ich oceny (walidacją osiągnięcia efektów uczenia się). Tworzenie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i kompletowanie dokumentacji oznacza całość działań służących uzyskaniu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danych (dowodów) używanych do oceny i potwierdzenia osiągnięcia efektów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uczenia się zgodnie z przyjętymi kryteriami ich weryfikacji. Trener lub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trenerka może zaprojektować i opracować opis efektów uczenia się, kryteria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weryfikacji oraz metody ich oceny, które będą zawarte w Karcie Usługi. Może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również przygotować całą walidację, np. zestawy pytań testowych, jeżeli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walidacja uwzględnia test. Może rozdać testy uczestnikom lub włączyć test,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jeżeli jest on w formie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elektronicznej. Może także zebrać przygotowane przez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uczestników prace. Nie może jednak ingerować w jakiejkolwiek formie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w ocenę wyników testu ani ingerować w jakiejkolwiek formie w proces jego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wypełniania.</w:t>
      </w:r>
    </w:p>
    <w:p w14:paraId="3261594D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2DE91099" w14:textId="77777777" w:rsidR="003F62F5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Z kolei osoba walidująca może być włączona w przygotowanie procesu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walidacji, ale może też zostać zaangażowana dopiero na ostatnim etapie –oceny i weryfikacji osiągniętych efektów uczenia się. Nie musi zatem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bezpośrednio prowadzić działań związanych z tworzeniem i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kompletowaniem dokumentacji walidacyjnej.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W przypadku, gdy ocena efektów uczenia się prowadzona jest za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pośrednictwem 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>testu dostępnego online</w:t>
      </w:r>
      <w:r w:rsidRPr="003F62F5">
        <w:rPr>
          <w:rFonts w:cs="Calibri"/>
          <w:color w:val="000000"/>
          <w:kern w:val="0"/>
          <w:sz w:val="24"/>
          <w:szCs w:val="24"/>
        </w:rPr>
        <w:t>, a wynik jest generowany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>automatycznie, bez udziału człowieka (odnosi się to także do usług</w:t>
      </w:r>
      <w:r w:rsidR="0056250F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rozwojowych realizowanych w formie zdalnej), 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>należy uznać, że zachowano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>warunek rozdzielności procesów szkolenia i walidacji</w:t>
      </w:r>
      <w:r w:rsidRPr="003F62F5">
        <w:rPr>
          <w:rFonts w:cs="Calibri"/>
          <w:color w:val="000000"/>
          <w:kern w:val="0"/>
          <w:sz w:val="24"/>
          <w:szCs w:val="24"/>
        </w:rPr>
        <w:t>.</w:t>
      </w:r>
    </w:p>
    <w:p w14:paraId="6445A799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0310A154" w14:textId="77777777" w:rsidR="00B75703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6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 xml:space="preserve">. </w:t>
      </w:r>
      <w:r w:rsidR="00F05A91" w:rsidRPr="003F62F5">
        <w:rPr>
          <w:rFonts w:cs="Calibri-Bold"/>
          <w:b/>
          <w:bCs/>
          <w:color w:val="000000"/>
          <w:kern w:val="0"/>
          <w:sz w:val="24"/>
          <w:szCs w:val="24"/>
        </w:rPr>
        <w:t>Osoba walidująca powinna posiadać kompetencje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, o których mowa w § 6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rozporządzenia w sprawie rejestru podmiotów świadczących usługi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="00F05A91" w:rsidRPr="003F62F5">
        <w:rPr>
          <w:rFonts w:cs="Calibri"/>
          <w:color w:val="000000"/>
          <w:kern w:val="0"/>
          <w:sz w:val="24"/>
          <w:szCs w:val="24"/>
        </w:rPr>
        <w:t>rozwojowe z dnia 28 lipca 2023 r.</w:t>
      </w:r>
    </w:p>
    <w:p w14:paraId="01BC549C" w14:textId="77777777" w:rsidR="00B75703" w:rsidRDefault="00B75703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3F46C53D" w14:textId="3009C44C" w:rsidR="003F62F5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Jednocześnie informuj</w:t>
      </w:r>
      <w:r w:rsidR="00CD56F1" w:rsidRPr="003F62F5">
        <w:rPr>
          <w:rFonts w:cs="Calibri"/>
          <w:color w:val="000000"/>
          <w:kern w:val="0"/>
          <w:sz w:val="24"/>
          <w:szCs w:val="24"/>
        </w:rPr>
        <w:t>emy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, że PARP uruchomiła </w:t>
      </w:r>
      <w:r w:rsidRPr="003F62F5">
        <w:rPr>
          <w:rFonts w:cs="Calibri-Bold"/>
          <w:b/>
          <w:bCs/>
          <w:color w:val="000000"/>
          <w:kern w:val="0"/>
          <w:sz w:val="24"/>
          <w:szCs w:val="24"/>
        </w:rPr>
        <w:t xml:space="preserve">pigułki wiedzy </w:t>
      </w:r>
      <w:r w:rsidRPr="003F62F5">
        <w:rPr>
          <w:rFonts w:cs="Calibri"/>
          <w:color w:val="000000"/>
          <w:kern w:val="0"/>
          <w:sz w:val="24"/>
          <w:szCs w:val="24"/>
        </w:rPr>
        <w:t>dotyczące procesu</w:t>
      </w:r>
      <w:r w:rsidR="003F62F5" w:rsidRPr="003F62F5">
        <w:rPr>
          <w:rFonts w:cs="Calibri"/>
          <w:color w:val="000000"/>
          <w:kern w:val="0"/>
          <w:sz w:val="24"/>
          <w:szCs w:val="24"/>
        </w:rPr>
        <w:t xml:space="preserve"> </w:t>
      </w:r>
      <w:r w:rsidRPr="003F62F5">
        <w:rPr>
          <w:rFonts w:cs="Calibri"/>
          <w:color w:val="000000"/>
          <w:kern w:val="0"/>
          <w:sz w:val="24"/>
          <w:szCs w:val="24"/>
        </w:rPr>
        <w:t xml:space="preserve">walidacji, dostępne przez portal BUR (linki poniżej). </w:t>
      </w:r>
    </w:p>
    <w:p w14:paraId="0805DAE0" w14:textId="77777777" w:rsidR="003F62F5" w:rsidRPr="003F62F5" w:rsidRDefault="003F62F5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3452A325" w14:textId="0645CFEF" w:rsidR="00F05A91" w:rsidRPr="003F62F5" w:rsidRDefault="00F05A91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 w:rsidRPr="003F62F5">
        <w:rPr>
          <w:rFonts w:cs="Calibri"/>
          <w:color w:val="000000"/>
          <w:kern w:val="0"/>
          <w:sz w:val="24"/>
          <w:szCs w:val="24"/>
        </w:rPr>
        <w:t>Bezpośredni link do pigułek wiedzy:</w:t>
      </w:r>
    </w:p>
    <w:p w14:paraId="61499769" w14:textId="0100C3D8" w:rsidR="00F05A91" w:rsidRPr="003F62F5" w:rsidRDefault="00B75703" w:rsidP="003F62F5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  <w:kern w:val="0"/>
          <w:sz w:val="24"/>
          <w:szCs w:val="24"/>
        </w:rPr>
      </w:pPr>
      <w:hyperlink r:id="rId7" w:history="1">
        <w:r w:rsidR="00CD56F1" w:rsidRPr="003F62F5">
          <w:rPr>
            <w:rStyle w:val="Hipercze"/>
            <w:rFonts w:cs="Calibri"/>
            <w:kern w:val="0"/>
            <w:sz w:val="24"/>
            <w:szCs w:val="24"/>
          </w:rPr>
          <w:t>https://www.youtube.com/playlist?list=PLynE-SBIVdGoFzjczA2GE1xqhVruHyHug</w:t>
        </w:r>
      </w:hyperlink>
    </w:p>
    <w:sectPr w:rsidR="00F05A91" w:rsidRPr="003F62F5" w:rsidSect="00B75703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5738C" w14:textId="77777777" w:rsidR="00F82713" w:rsidRDefault="00F82713" w:rsidP="00F05A91">
      <w:pPr>
        <w:spacing w:after="0" w:line="240" w:lineRule="auto"/>
      </w:pPr>
      <w:r>
        <w:separator/>
      </w:r>
    </w:p>
  </w:endnote>
  <w:endnote w:type="continuationSeparator" w:id="0">
    <w:p w14:paraId="4F7A10B9" w14:textId="77777777" w:rsidR="00F82713" w:rsidRDefault="00F82713" w:rsidP="00F0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0F85" w14:textId="77777777" w:rsidR="00F82713" w:rsidRDefault="00F82713" w:rsidP="00F05A91">
      <w:pPr>
        <w:spacing w:after="0" w:line="240" w:lineRule="auto"/>
      </w:pPr>
      <w:r>
        <w:separator/>
      </w:r>
    </w:p>
  </w:footnote>
  <w:footnote w:type="continuationSeparator" w:id="0">
    <w:p w14:paraId="7E93F381" w14:textId="77777777" w:rsidR="00F82713" w:rsidRDefault="00F82713" w:rsidP="00F0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FA2E" w14:textId="11633E89" w:rsidR="00F05A91" w:rsidRDefault="00F05A91">
    <w:pPr>
      <w:pStyle w:val="Nagwek"/>
    </w:pPr>
    <w:r>
      <w:rPr>
        <w:noProof/>
      </w:rPr>
      <w:drawing>
        <wp:inline distT="0" distB="0" distL="0" distR="0" wp14:anchorId="2762D3D4" wp14:editId="15653F7D">
          <wp:extent cx="5759450" cy="609600"/>
          <wp:effectExtent l="0" t="0" r="0" b="0"/>
          <wp:docPr id="9109070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C7710"/>
    <w:multiLevelType w:val="hybridMultilevel"/>
    <w:tmpl w:val="0264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F3DCB"/>
    <w:multiLevelType w:val="hybridMultilevel"/>
    <w:tmpl w:val="A5AE7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5157">
    <w:abstractNumId w:val="0"/>
  </w:num>
  <w:num w:numId="2" w16cid:durableId="32285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E2"/>
    <w:rsid w:val="00050F74"/>
    <w:rsid w:val="002A768C"/>
    <w:rsid w:val="002B0DD7"/>
    <w:rsid w:val="002F495C"/>
    <w:rsid w:val="00363B1C"/>
    <w:rsid w:val="003F62F5"/>
    <w:rsid w:val="004025AB"/>
    <w:rsid w:val="0056250F"/>
    <w:rsid w:val="005B0803"/>
    <w:rsid w:val="00742EE2"/>
    <w:rsid w:val="0089637E"/>
    <w:rsid w:val="00932DD3"/>
    <w:rsid w:val="00B75703"/>
    <w:rsid w:val="00CD4571"/>
    <w:rsid w:val="00CD56F1"/>
    <w:rsid w:val="00D73290"/>
    <w:rsid w:val="00F05A91"/>
    <w:rsid w:val="00F82713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A9E"/>
  <w15:chartTrackingRefBased/>
  <w15:docId w15:val="{E4D9C656-46E8-4C22-8C73-6CC68A87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E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E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E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E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E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0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A91"/>
  </w:style>
  <w:style w:type="paragraph" w:styleId="Stopka">
    <w:name w:val="footer"/>
    <w:basedOn w:val="Normalny"/>
    <w:link w:val="StopkaZnak"/>
    <w:uiPriority w:val="99"/>
    <w:unhideWhenUsed/>
    <w:rsid w:val="00F0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A91"/>
  </w:style>
  <w:style w:type="character" w:styleId="Hipercze">
    <w:name w:val="Hyperlink"/>
    <w:basedOn w:val="Domylnaczcionkaakapitu"/>
    <w:uiPriority w:val="99"/>
    <w:unhideWhenUsed/>
    <w:rsid w:val="00CD56F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ynE-SBIVdGoFzjczA2GE1xqhVruHyH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Błaszkiewicz</dc:creator>
  <cp:keywords/>
  <dc:description/>
  <cp:lastModifiedBy>Piotr Błaszkiewicz</cp:lastModifiedBy>
  <cp:revision>8</cp:revision>
  <dcterms:created xsi:type="dcterms:W3CDTF">2024-06-20T08:34:00Z</dcterms:created>
  <dcterms:modified xsi:type="dcterms:W3CDTF">2024-06-26T11:07:00Z</dcterms:modified>
</cp:coreProperties>
</file>